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9482C">
      <w:pPr>
        <w:spacing w:line="360" w:lineRule="auto"/>
        <w:jc w:val="center"/>
        <w:rPr>
          <w:rFonts w:ascii="仿宋" w:hAnsi="仿宋" w:eastAsia="仿宋"/>
          <w:b/>
          <w:sz w:val="36"/>
          <w:szCs w:val="36"/>
        </w:rPr>
      </w:pPr>
      <w:r>
        <w:rPr>
          <w:rFonts w:hint="eastAsia" w:ascii="仿宋" w:hAnsi="仿宋" w:eastAsia="仿宋"/>
          <w:b/>
          <w:sz w:val="36"/>
          <w:szCs w:val="36"/>
        </w:rPr>
        <w:t>华南农业大学联合培养研究生基地建设</w:t>
      </w:r>
    </w:p>
    <w:p w14:paraId="389522C0">
      <w:pPr>
        <w:spacing w:line="360" w:lineRule="auto"/>
        <w:jc w:val="center"/>
        <w:rPr>
          <w:rFonts w:ascii="仿宋" w:hAnsi="仿宋" w:eastAsia="仿宋"/>
          <w:b/>
          <w:sz w:val="36"/>
          <w:szCs w:val="36"/>
        </w:rPr>
      </w:pPr>
      <w:r>
        <w:rPr>
          <w:rFonts w:hint="eastAsia" w:ascii="仿宋" w:hAnsi="仿宋" w:eastAsia="仿宋"/>
          <w:b/>
          <w:sz w:val="36"/>
          <w:szCs w:val="36"/>
        </w:rPr>
        <w:t>合作协议书</w:t>
      </w:r>
    </w:p>
    <w:p w14:paraId="56C05905">
      <w:pPr>
        <w:spacing w:before="156" w:beforeLines="50" w:line="360" w:lineRule="auto"/>
        <w:rPr>
          <w:rFonts w:ascii="仿宋" w:hAnsi="仿宋" w:eastAsia="仿宋"/>
          <w:b/>
          <w:sz w:val="28"/>
          <w:szCs w:val="28"/>
        </w:rPr>
      </w:pPr>
      <w:r>
        <w:rPr>
          <w:rFonts w:hint="eastAsia" w:ascii="仿宋" w:hAnsi="仿宋" w:eastAsia="仿宋"/>
          <w:b/>
          <w:sz w:val="28"/>
          <w:szCs w:val="28"/>
        </w:rPr>
        <w:t>甲方：华南农业大学</w:t>
      </w:r>
    </w:p>
    <w:p w14:paraId="7F34EC9E">
      <w:pPr>
        <w:spacing w:line="360" w:lineRule="auto"/>
        <w:rPr>
          <w:rFonts w:ascii="仿宋" w:hAnsi="仿宋" w:eastAsia="仿宋"/>
          <w:b/>
          <w:sz w:val="28"/>
          <w:szCs w:val="28"/>
          <w:u w:val="single"/>
        </w:rPr>
      </w:pPr>
      <w:r>
        <w:rPr>
          <w:rFonts w:hint="eastAsia" w:ascii="仿宋" w:hAnsi="仿宋" w:eastAsia="仿宋"/>
          <w:b/>
          <w:sz w:val="28"/>
          <w:szCs w:val="28"/>
        </w:rPr>
        <w:t>乙方：</w:t>
      </w:r>
      <w:permStart w:id="0" w:edGrp="everyone"/>
      <w:r>
        <w:rPr>
          <w:rFonts w:hint="eastAsia" w:ascii="仿宋" w:hAnsi="仿宋" w:eastAsia="仿宋"/>
          <w:b/>
          <w:sz w:val="28"/>
          <w:szCs w:val="28"/>
          <w:u w:val="single"/>
        </w:rPr>
        <w:t xml:space="preserve">            </w:t>
      </w:r>
      <w:permEnd w:id="0"/>
    </w:p>
    <w:p w14:paraId="4E956305">
      <w:pPr>
        <w:pStyle w:val="7"/>
        <w:snapToGrid w:val="0"/>
        <w:spacing w:before="0" w:beforeAutospacing="0" w:after="0" w:afterAutospacing="0" w:line="360" w:lineRule="auto"/>
        <w:ind w:firstLine="560" w:firstLineChars="200"/>
        <w:jc w:val="both"/>
        <w:rPr>
          <w:rFonts w:ascii="仿宋" w:hAnsi="仿宋" w:eastAsia="仿宋" w:cs="Times New Roman"/>
          <w:sz w:val="28"/>
          <w:szCs w:val="28"/>
        </w:rPr>
      </w:pPr>
      <w:r>
        <w:rPr>
          <w:rFonts w:hint="eastAsia" w:ascii="仿宋" w:hAnsi="仿宋" w:eastAsia="仿宋" w:cs="Times New Roman"/>
          <w:sz w:val="28"/>
          <w:szCs w:val="28"/>
        </w:rPr>
        <w:t>为贯彻国家及广东省有关人才和教育发展规划纲要精神，加快高级专门人才培养的步伐，有效提高人才培养质量，建设全面开放的研究生教育创新体系。华南农业大学（甲方）和</w:t>
      </w:r>
      <w:permStart w:id="1" w:edGrp="everyone"/>
      <w:r>
        <w:rPr>
          <w:rFonts w:hint="eastAsia" w:ascii="仿宋" w:hAnsi="仿宋" w:eastAsia="仿宋" w:cs="Times New Roman"/>
          <w:sz w:val="28"/>
          <w:szCs w:val="28"/>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（乙方）</w:t>
      </w:r>
      <w:permEnd w:id="1"/>
      <w:r>
        <w:rPr>
          <w:rFonts w:hint="eastAsia" w:ascii="仿宋" w:hAnsi="仿宋" w:eastAsia="仿宋" w:cs="Times New Roman"/>
          <w:sz w:val="28"/>
          <w:szCs w:val="28"/>
        </w:rPr>
        <w:t>决定建设联合培养研究生基地（以下简称“基地”）。双</w:t>
      </w:r>
      <w:bookmarkStart w:id="0" w:name="_GoBack"/>
      <w:bookmarkEnd w:id="0"/>
      <w:r>
        <w:rPr>
          <w:rFonts w:hint="eastAsia" w:ascii="仿宋" w:hAnsi="仿宋" w:eastAsia="仿宋" w:cs="Times New Roman"/>
          <w:sz w:val="28"/>
          <w:szCs w:val="28"/>
        </w:rPr>
        <w:t>方经充分协商，达成如下协议。</w:t>
      </w:r>
    </w:p>
    <w:p w14:paraId="7E6754A2">
      <w:pPr>
        <w:pStyle w:val="7"/>
        <w:snapToGrid w:val="0"/>
        <w:spacing w:before="0" w:beforeAutospacing="0" w:after="0" w:afterAutospacing="0" w:line="360" w:lineRule="auto"/>
        <w:ind w:firstLine="562" w:firstLineChars="200"/>
        <w:jc w:val="both"/>
        <w:rPr>
          <w:rFonts w:ascii="仿宋" w:hAnsi="仿宋" w:eastAsia="仿宋" w:cs="Times New Roman"/>
          <w:b/>
          <w:sz w:val="28"/>
          <w:szCs w:val="28"/>
        </w:rPr>
      </w:pPr>
      <w:r>
        <w:rPr>
          <w:rFonts w:hint="eastAsia" w:ascii="仿宋" w:hAnsi="仿宋" w:eastAsia="仿宋" w:cs="Times New Roman"/>
          <w:b/>
          <w:sz w:val="28"/>
          <w:szCs w:val="28"/>
        </w:rPr>
        <w:t>第一条  合作目的</w:t>
      </w:r>
    </w:p>
    <w:p w14:paraId="60950611">
      <w:pPr>
        <w:widowControl/>
        <w:snapToGrid w:val="0"/>
        <w:spacing w:line="360" w:lineRule="auto"/>
        <w:ind w:firstLine="560" w:firstLineChars="200"/>
        <w:rPr>
          <w:rFonts w:ascii="仿宋" w:hAnsi="仿宋" w:eastAsia="仿宋" w:cs="Times New Roman"/>
          <w:kern w:val="0"/>
          <w:sz w:val="28"/>
          <w:szCs w:val="28"/>
        </w:rPr>
      </w:pPr>
      <w:r>
        <w:rPr>
          <w:rFonts w:ascii="仿宋" w:hAnsi="仿宋" w:eastAsia="仿宋" w:cs="Times New Roman"/>
          <w:kern w:val="0"/>
          <w:sz w:val="28"/>
          <w:szCs w:val="28"/>
        </w:rPr>
        <w:t>充分利用</w:t>
      </w:r>
      <w:r>
        <w:rPr>
          <w:rFonts w:hint="eastAsia" w:ascii="仿宋" w:hAnsi="仿宋" w:eastAsia="仿宋" w:cs="Times New Roman"/>
          <w:kern w:val="0"/>
          <w:sz w:val="28"/>
          <w:szCs w:val="28"/>
        </w:rPr>
        <w:t>双方的</w:t>
      </w:r>
      <w:r>
        <w:rPr>
          <w:rFonts w:ascii="仿宋" w:hAnsi="仿宋" w:eastAsia="仿宋" w:cs="Times New Roman"/>
          <w:kern w:val="0"/>
          <w:sz w:val="28"/>
          <w:szCs w:val="28"/>
        </w:rPr>
        <w:t>优质资源，</w:t>
      </w:r>
      <w:r>
        <w:rPr>
          <w:rFonts w:hint="eastAsia" w:ascii="仿宋" w:hAnsi="仿宋" w:eastAsia="仿宋" w:cs="Times New Roman"/>
          <w:kern w:val="0"/>
          <w:sz w:val="28"/>
          <w:szCs w:val="28"/>
        </w:rPr>
        <w:t>充分发挥各自在学术队伍、文献资料、设施设备和经费等方面的优势，协同开展研究生培养和生产技术创新，</w:t>
      </w:r>
      <w:r>
        <w:rPr>
          <w:rFonts w:ascii="仿宋" w:hAnsi="仿宋" w:eastAsia="仿宋" w:cs="Times New Roman"/>
          <w:kern w:val="0"/>
          <w:sz w:val="28"/>
          <w:szCs w:val="28"/>
        </w:rPr>
        <w:t>共同打造培养</w:t>
      </w:r>
      <w:r>
        <w:rPr>
          <w:rFonts w:hint="eastAsia" w:ascii="仿宋" w:hAnsi="仿宋" w:eastAsia="仿宋" w:cs="Times New Roman"/>
          <w:kern w:val="0"/>
          <w:sz w:val="28"/>
          <w:szCs w:val="28"/>
        </w:rPr>
        <w:t>应用型、</w:t>
      </w:r>
      <w:r>
        <w:rPr>
          <w:rFonts w:ascii="仿宋" w:hAnsi="仿宋" w:eastAsia="仿宋" w:cs="Times New Roman"/>
          <w:kern w:val="0"/>
          <w:sz w:val="28"/>
          <w:szCs w:val="28"/>
        </w:rPr>
        <w:t>创新型、复合型</w:t>
      </w:r>
      <w:r>
        <w:rPr>
          <w:rFonts w:hint="eastAsia" w:ascii="仿宋" w:hAnsi="仿宋" w:eastAsia="仿宋" w:cs="Times New Roman"/>
          <w:kern w:val="0"/>
          <w:sz w:val="28"/>
          <w:szCs w:val="28"/>
        </w:rPr>
        <w:t>、创业型</w:t>
      </w:r>
      <w:r>
        <w:rPr>
          <w:rFonts w:ascii="仿宋" w:hAnsi="仿宋" w:eastAsia="仿宋" w:cs="Times New Roman"/>
          <w:kern w:val="0"/>
          <w:sz w:val="28"/>
          <w:szCs w:val="28"/>
        </w:rPr>
        <w:t>高层次人才的平台，实现产、学、研良性互动</w:t>
      </w:r>
      <w:r>
        <w:rPr>
          <w:rFonts w:hint="eastAsia" w:ascii="仿宋" w:hAnsi="仿宋" w:eastAsia="仿宋" w:cs="Times New Roman"/>
          <w:kern w:val="0"/>
          <w:sz w:val="28"/>
          <w:szCs w:val="28"/>
        </w:rPr>
        <w:t>，提高研究生培养质量和企业创新能力。</w:t>
      </w:r>
    </w:p>
    <w:p w14:paraId="02E0B252">
      <w:pPr>
        <w:widowControl/>
        <w:snapToGrid w:val="0"/>
        <w:spacing w:line="360" w:lineRule="auto"/>
        <w:ind w:firstLine="562" w:firstLineChars="200"/>
        <w:rPr>
          <w:rFonts w:ascii="仿宋" w:hAnsi="仿宋" w:eastAsia="仿宋" w:cs="Times New Roman"/>
          <w:b/>
          <w:kern w:val="0"/>
          <w:sz w:val="28"/>
          <w:szCs w:val="28"/>
        </w:rPr>
      </w:pPr>
      <w:r>
        <w:rPr>
          <w:rFonts w:hint="eastAsia" w:ascii="仿宋" w:hAnsi="仿宋" w:eastAsia="仿宋" w:cs="Times New Roman"/>
          <w:b/>
          <w:kern w:val="0"/>
          <w:sz w:val="28"/>
          <w:szCs w:val="28"/>
        </w:rPr>
        <w:t>第二条  权利和义务</w:t>
      </w:r>
    </w:p>
    <w:p w14:paraId="06AFD312">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（一）甲方权利和义务</w:t>
      </w:r>
    </w:p>
    <w:p w14:paraId="39D8DC46">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w:t>
      </w:r>
      <w:permStart w:id="2" w:edGrp="everyone"/>
      <w:r>
        <w:rPr>
          <w:rFonts w:hint="eastAsia" w:ascii="仿宋" w:hAnsi="仿宋" w:eastAsia="仿宋"/>
          <w:sz w:val="28"/>
          <w:szCs w:val="28"/>
        </w:rPr>
        <w:t>甲方每年派遣</w:t>
      </w:r>
      <w:commentRangeStart w:id="0"/>
      <w:r>
        <w:rPr>
          <w:rFonts w:hint="eastAsia" w:ascii="仿宋" w:hAnsi="仿宋" w:eastAsia="仿宋"/>
          <w:sz w:val="28"/>
          <w:szCs w:val="28"/>
          <w:u w:val="single"/>
        </w:rPr>
        <w:t xml:space="preserve">       </w:t>
      </w:r>
      <w:commentRangeEnd w:id="0"/>
      <w:r>
        <w:commentReference w:id="0"/>
      </w:r>
      <w:r>
        <w:rPr>
          <w:rFonts w:hint="eastAsia" w:ascii="仿宋" w:hAnsi="仿宋" w:eastAsia="仿宋"/>
          <w:sz w:val="28"/>
          <w:szCs w:val="28"/>
        </w:rPr>
        <w:t>名</w:t>
      </w:r>
      <w:r>
        <w:rPr>
          <w:rFonts w:hint="eastAsia" w:ascii="仿宋" w:hAnsi="仿宋" w:eastAsia="仿宋"/>
          <w:sz w:val="28"/>
          <w:szCs w:val="28"/>
          <w:u w:val="single"/>
        </w:rPr>
        <w:t xml:space="preserve">                  </w:t>
      </w:r>
      <w:r>
        <w:rPr>
          <w:rFonts w:hint="eastAsia" w:ascii="仿宋" w:hAnsi="仿宋" w:eastAsia="仿宋"/>
          <w:sz w:val="28"/>
          <w:szCs w:val="28"/>
        </w:rPr>
        <w:t>等专业的研究生</w:t>
      </w:r>
      <w:permEnd w:id="2"/>
      <w:r>
        <w:rPr>
          <w:rFonts w:hint="eastAsia" w:ascii="仿宋" w:hAnsi="仿宋" w:eastAsia="仿宋"/>
          <w:sz w:val="28"/>
          <w:szCs w:val="28"/>
        </w:rPr>
        <w:t>到乙方单位进行联合培养、科研实践、开展研究生论文等工作。每位研究生在“基地”的实践时间不少于</w:t>
      </w:r>
      <w:permStart w:id="3" w:edGrp="everyone"/>
      <w:commentRangeStart w:id="1"/>
      <w:r>
        <w:rPr>
          <w:rFonts w:hint="eastAsia" w:ascii="仿宋" w:hAnsi="仿宋" w:eastAsia="仿宋"/>
          <w:sz w:val="28"/>
          <w:szCs w:val="28"/>
          <w:u w:val="single"/>
        </w:rPr>
        <w:t xml:space="preserve">    </w:t>
      </w:r>
      <w:commentRangeEnd w:id="1"/>
      <w:r>
        <w:commentReference w:id="1"/>
      </w:r>
      <w:r>
        <w:rPr>
          <w:rFonts w:hint="eastAsia" w:ascii="仿宋" w:hAnsi="仿宋" w:eastAsia="仿宋"/>
          <w:sz w:val="28"/>
          <w:szCs w:val="28"/>
        </w:rPr>
        <w:t>个月</w:t>
      </w:r>
      <w:permEnd w:id="3"/>
      <w:r>
        <w:rPr>
          <w:rFonts w:hint="eastAsia" w:ascii="仿宋" w:hAnsi="仿宋" w:eastAsia="仿宋"/>
          <w:sz w:val="28"/>
          <w:szCs w:val="28"/>
        </w:rPr>
        <w:t>。</w:t>
      </w:r>
    </w:p>
    <w:p w14:paraId="67776C06">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2.甲方负责为派去乙方的联合培养研究生购买保险。</w:t>
      </w:r>
    </w:p>
    <w:p w14:paraId="2427AD9B">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3.甲方研究生进入乙方进行联合培养、科研实践、开展研究生论文等工作期间，应严格遵守国家和地方有关法律法规及乙方的各项管理规章制度。</w:t>
      </w:r>
    </w:p>
    <w:p w14:paraId="10274C4E">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4.安排专人负责协调基地研究生培养和日常管理工作，落实、执行相应计划和制度，对基地研究生培养质量进行监控。</w:t>
      </w:r>
    </w:p>
    <w:p w14:paraId="12532E7B">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 根据《中华人民共和国学位条例》及其《中华人民共和国学位条例暂行实施办法》等有关规定的要求，在“基地”培养的研究生，其学位由高校授予。</w:t>
      </w:r>
    </w:p>
    <w:p w14:paraId="4EB93330">
      <w:pPr>
        <w:widowControl/>
        <w:snapToGrid w:val="0"/>
        <w:spacing w:line="360" w:lineRule="auto"/>
        <w:ind w:firstLine="560" w:firstLineChars="200"/>
        <w:rPr>
          <w:rFonts w:ascii="仿宋" w:hAnsi="仿宋" w:eastAsia="仿宋"/>
          <w:sz w:val="28"/>
          <w:szCs w:val="28"/>
        </w:rPr>
      </w:pPr>
      <w:permStart w:id="4" w:edGrp="everyone"/>
      <w:r>
        <w:rPr>
          <w:rFonts w:hint="eastAsia" w:ascii="仿宋" w:hAnsi="仿宋" w:eastAsia="仿宋"/>
          <w:sz w:val="28"/>
          <w:szCs w:val="28"/>
        </w:rPr>
        <w:t>6.其他条款</w:t>
      </w:r>
      <w:r>
        <w:rPr>
          <w:rFonts w:hint="eastAsia" w:ascii="仿宋" w:hAnsi="仿宋" w:eastAsia="仿宋"/>
          <w:sz w:val="28"/>
          <w:szCs w:val="28"/>
          <w:u w:val="single"/>
        </w:rPr>
        <w:t xml:space="preserve">    （没有可填“无”或删除本行）  </w:t>
      </w:r>
      <w:permEnd w:id="4"/>
      <w:r>
        <w:rPr>
          <w:rFonts w:hint="eastAsia" w:ascii="仿宋" w:hAnsi="仿宋" w:eastAsia="仿宋"/>
          <w:sz w:val="28"/>
          <w:szCs w:val="28"/>
        </w:rPr>
        <w:t>。</w:t>
      </w:r>
    </w:p>
    <w:p w14:paraId="323A2266">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（二）乙方权利和义务</w:t>
      </w:r>
    </w:p>
    <w:p w14:paraId="127C9F21">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1.乙方指定专门人员担任联合培养研究生的校外导师，与甲方的校内导师紧密合作完成联合培养研究生任务。加强研究生在基地期间的培养，按照研究生培养的要求和标准开展研究生政治思想教育、业务指导和日常管理，保障研究生完成学位论文研究。</w:t>
      </w:r>
    </w:p>
    <w:p w14:paraId="48D84417">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负责联合培养乙方基地的日常管理，为甲方研究生联合培养期间的科研实验、实践教学等工作提供便利，并协助解决参加联合培养研究生的食宿（食宿收费标准应符合国家及地区有关规定，不高于正常市场收费标准，具体费用由乙方与研究生协商自理），对学生人身及财产安全提供必要保障。</w:t>
      </w:r>
    </w:p>
    <w:p w14:paraId="790716DD">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3.根据甲方的具体要求，支持和参与甲方的创新实践培养课程开发和教学，对基地研究生培养质量进行监控。</w:t>
      </w:r>
    </w:p>
    <w:p w14:paraId="7E51097B">
      <w:pPr>
        <w:spacing w:line="360" w:lineRule="auto"/>
        <w:ind w:firstLine="560" w:firstLineChars="200"/>
        <w:rPr>
          <w:rFonts w:ascii="仿宋" w:hAnsi="仿宋" w:eastAsia="仿宋"/>
          <w:sz w:val="28"/>
          <w:szCs w:val="28"/>
        </w:rPr>
      </w:pPr>
      <w:r>
        <w:rPr>
          <w:rFonts w:hint="eastAsia" w:ascii="仿宋" w:hAnsi="仿宋" w:eastAsia="仿宋"/>
          <w:sz w:val="28"/>
          <w:szCs w:val="28"/>
        </w:rPr>
        <w:t>4.工作期间的待遇由甲、乙双方协商，并由乙方承担每月发给研究生不低于</w:t>
      </w:r>
      <w:permStart w:id="5" w:edGrp="everyone"/>
      <w:r>
        <w:rPr>
          <w:rFonts w:hint="eastAsia" w:ascii="仿宋" w:hAnsi="仿宋" w:eastAsia="仿宋"/>
          <w:sz w:val="28"/>
          <w:szCs w:val="28"/>
          <w:u w:val="single"/>
        </w:rPr>
        <w:t xml:space="preserve">     </w:t>
      </w:r>
      <w:r>
        <w:rPr>
          <w:rFonts w:hint="eastAsia" w:ascii="仿宋" w:hAnsi="仿宋" w:eastAsia="仿宋"/>
          <w:sz w:val="28"/>
          <w:szCs w:val="28"/>
        </w:rPr>
        <w:t>元</w:t>
      </w:r>
      <w:permEnd w:id="5"/>
      <w:r>
        <w:rPr>
          <w:rFonts w:hint="eastAsia" w:ascii="仿宋" w:hAnsi="仿宋" w:eastAsia="仿宋"/>
          <w:sz w:val="28"/>
          <w:szCs w:val="28"/>
        </w:rPr>
        <w:t>的生活补贴。</w:t>
      </w:r>
    </w:p>
    <w:p w14:paraId="1E0CCB97">
      <w:pPr>
        <w:widowControl/>
        <w:snapToGrid w:val="0"/>
        <w:spacing w:line="360" w:lineRule="auto"/>
        <w:ind w:firstLine="560" w:firstLineChars="200"/>
        <w:rPr>
          <w:rFonts w:ascii="仿宋" w:hAnsi="仿宋" w:eastAsia="仿宋"/>
          <w:sz w:val="28"/>
          <w:szCs w:val="28"/>
        </w:rPr>
      </w:pPr>
      <w:permStart w:id="6" w:edGrp="everyone"/>
      <w:r>
        <w:rPr>
          <w:rFonts w:hint="eastAsia" w:ascii="仿宋" w:hAnsi="仿宋" w:eastAsia="仿宋"/>
          <w:sz w:val="28"/>
          <w:szCs w:val="28"/>
        </w:rPr>
        <w:t>5.其他条款</w:t>
      </w:r>
      <w:r>
        <w:rPr>
          <w:rFonts w:hint="eastAsia" w:ascii="仿宋" w:hAnsi="仿宋" w:eastAsia="仿宋"/>
          <w:sz w:val="28"/>
          <w:szCs w:val="28"/>
          <w:u w:val="single"/>
        </w:rPr>
        <w:t xml:space="preserve">    （没有可填“无”或删除本行）  </w:t>
      </w:r>
      <w:permEnd w:id="6"/>
      <w:r>
        <w:rPr>
          <w:rFonts w:hint="eastAsia" w:ascii="仿宋" w:hAnsi="仿宋" w:eastAsia="仿宋"/>
          <w:sz w:val="28"/>
          <w:szCs w:val="28"/>
        </w:rPr>
        <w:t>。</w:t>
      </w:r>
    </w:p>
    <w:p w14:paraId="672ECBD0">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（三）共同的权利和义务</w:t>
      </w:r>
    </w:p>
    <w:p w14:paraId="312C6ABC">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双方共同建立研究生联合培养委员会，由双方主管领导担任主任和副主任，成员包括：甲方所在学院分管研究生教育的院领导、所在学院部分学位委员会委员、合作校内导师，乙方所在单位分管科研的领导、学术骨干和合作校外导师。</w:t>
      </w:r>
    </w:p>
    <w:p w14:paraId="168C248C">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2.双方负责制定基地发展规划、日常管理制度、项目进展汇报和讨论交流制度，并制定联合培养研究生实践方案，作为本协议的附件。原则上每年组织</w:t>
      </w:r>
      <w:permStart w:id="7" w:edGrp="everyone"/>
      <w:r>
        <w:rPr>
          <w:rFonts w:hint="eastAsia" w:ascii="仿宋" w:hAnsi="仿宋" w:eastAsia="仿宋"/>
          <w:sz w:val="28"/>
          <w:szCs w:val="28"/>
        </w:rPr>
        <w:t>1-2次工作会议</w:t>
      </w:r>
      <w:permEnd w:id="7"/>
      <w:r>
        <w:rPr>
          <w:rFonts w:hint="eastAsia" w:ascii="仿宋" w:hAnsi="仿宋" w:eastAsia="仿宋"/>
          <w:sz w:val="28"/>
          <w:szCs w:val="28"/>
        </w:rPr>
        <w:t>，加强双方的学术交流与研究生管理工作。</w:t>
      </w:r>
      <w:permStart w:id="8" w:edGrp="everyone"/>
      <w:permEnd w:id="8"/>
    </w:p>
    <w:p w14:paraId="728F118F">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3.双方应高度重视参与联合培养项目研究生的安全教育。</w:t>
      </w:r>
    </w:p>
    <w:p w14:paraId="5CAFD69B">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4.本协议如涉及双方在技术转让、成果回报，特别是合作形成成果的归属、开发等权限，双方按照平等、互利和协商原则由双方根据项目实际情况另行签订合同。</w:t>
      </w:r>
    </w:p>
    <w:p w14:paraId="25965C8C">
      <w:pPr>
        <w:widowControl/>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 研究生培养过程中所产生论文署名、科研成果的归属问题，由双方协商解决。必要时双方可签订保密协议。</w:t>
      </w:r>
    </w:p>
    <w:p w14:paraId="036039ED">
      <w:pPr>
        <w:widowControl/>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 xml:space="preserve">第三条 </w:t>
      </w:r>
      <w:r>
        <w:rPr>
          <w:rFonts w:hint="eastAsia" w:ascii="仿宋" w:hAnsi="仿宋" w:eastAsia="仿宋"/>
          <w:sz w:val="28"/>
          <w:szCs w:val="28"/>
        </w:rPr>
        <w:t>本协议未尽事宜，由双方协商解决。如双方发生纠纷而且无法协商一致，双方同意向甲方所在地人民法院起诉。</w:t>
      </w:r>
    </w:p>
    <w:p w14:paraId="1CE7943C">
      <w:pPr>
        <w:widowControl/>
        <w:snapToGrid w:val="0"/>
        <w:spacing w:line="360" w:lineRule="auto"/>
        <w:ind w:left="210" w:leftChars="100" w:firstLine="281" w:firstLineChars="100"/>
        <w:rPr>
          <w:rFonts w:ascii="仿宋" w:hAnsi="仿宋" w:eastAsia="仿宋"/>
          <w:sz w:val="28"/>
          <w:szCs w:val="28"/>
        </w:rPr>
      </w:pPr>
      <w:r>
        <w:rPr>
          <w:rFonts w:hint="eastAsia" w:ascii="仿宋" w:hAnsi="仿宋" w:eastAsia="仿宋"/>
          <w:b/>
          <w:sz w:val="28"/>
          <w:szCs w:val="28"/>
        </w:rPr>
        <w:t xml:space="preserve">第四条 </w:t>
      </w:r>
      <w:permStart w:id="9" w:edGrp="everyone"/>
      <w:r>
        <w:rPr>
          <w:rFonts w:hint="eastAsia" w:ascii="仿宋" w:hAnsi="仿宋" w:eastAsia="仿宋"/>
          <w:sz w:val="28"/>
          <w:szCs w:val="28"/>
        </w:rPr>
        <w:t>本协议类型为</w:t>
      </w:r>
      <w:r>
        <w:rPr>
          <w:rFonts w:hint="eastAsia" w:ascii="仿宋" w:hAnsi="仿宋" w:eastAsia="仿宋"/>
          <w:sz w:val="28"/>
          <w:szCs w:val="28"/>
          <w:u w:val="single"/>
        </w:rPr>
        <w:t xml:space="preserve"> □新建基地协议 □续签</w:t>
      </w:r>
      <w:r>
        <w:rPr>
          <w:rFonts w:hint="eastAsia" w:ascii="仿宋" w:hAnsi="仿宋" w:eastAsia="仿宋"/>
          <w:sz w:val="28"/>
          <w:szCs w:val="28"/>
        </w:rPr>
        <w:t>协议，本协议有效期为</w:t>
      </w:r>
      <w:r>
        <w:rPr>
          <w:rFonts w:hint="eastAsia" w:ascii="仿宋" w:hAnsi="仿宋" w:eastAsia="仿宋"/>
          <w:sz w:val="28"/>
          <w:szCs w:val="28"/>
          <w:u w:val="single"/>
        </w:rPr>
        <w:t xml:space="preserve">     </w:t>
      </w:r>
      <w:r>
        <w:rPr>
          <w:rFonts w:hint="eastAsia" w:ascii="仿宋" w:hAnsi="仿宋" w:eastAsia="仿宋"/>
          <w:sz w:val="28"/>
          <w:szCs w:val="28"/>
        </w:rPr>
        <w:t>年：自</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月起至</w:t>
      </w: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月止，</w:t>
      </w:r>
      <w:permEnd w:id="9"/>
      <w:r>
        <w:rPr>
          <w:rFonts w:hint="eastAsia" w:ascii="仿宋" w:hAnsi="仿宋" w:eastAsia="仿宋"/>
          <w:sz w:val="28"/>
          <w:szCs w:val="28"/>
        </w:rPr>
        <w:t>合同到期后可根据实际情况续签。</w:t>
      </w:r>
    </w:p>
    <w:p w14:paraId="74425EED">
      <w:pPr>
        <w:spacing w:line="360" w:lineRule="auto"/>
        <w:ind w:firstLine="562" w:firstLineChars="200"/>
        <w:rPr>
          <w:rFonts w:ascii="仿宋" w:hAnsi="仿宋" w:eastAsia="仿宋" w:cs="新宋体"/>
          <w:b/>
          <w:bCs/>
          <w:sz w:val="28"/>
          <w:szCs w:val="28"/>
        </w:rPr>
      </w:pPr>
      <w:r>
        <w:rPr>
          <w:rFonts w:hint="eastAsia" w:ascii="仿宋" w:hAnsi="仿宋" w:eastAsia="仿宋" w:cs="新宋体"/>
          <w:b/>
          <w:bCs/>
          <w:sz w:val="28"/>
          <w:szCs w:val="28"/>
        </w:rPr>
        <w:t>第五条  附则</w:t>
      </w:r>
    </w:p>
    <w:p w14:paraId="1D00581B">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1.本协议正本一式</w:t>
      </w:r>
      <w:permStart w:id="10" w:edGrp="everyone"/>
      <w:r>
        <w:rPr>
          <w:rFonts w:hint="eastAsia" w:ascii="仿宋" w:hAnsi="仿宋" w:eastAsia="仿宋" w:cs="Times New Roman"/>
          <w:sz w:val="28"/>
          <w:szCs w:val="28"/>
        </w:rPr>
        <w:t>四</w:t>
      </w:r>
      <w:permEnd w:id="10"/>
      <w:r>
        <w:rPr>
          <w:rFonts w:hint="eastAsia" w:ascii="仿宋" w:hAnsi="仿宋" w:eastAsia="仿宋" w:cs="Times New Roman"/>
          <w:sz w:val="28"/>
          <w:szCs w:val="28"/>
        </w:rPr>
        <w:t>份，</w:t>
      </w:r>
      <w:permStart w:id="11" w:edGrp="everyone"/>
      <w:r>
        <w:rPr>
          <w:rFonts w:hint="eastAsia" w:ascii="仿宋" w:hAnsi="仿宋" w:eastAsia="仿宋" w:cs="Times New Roman"/>
          <w:sz w:val="28"/>
          <w:szCs w:val="28"/>
        </w:rPr>
        <w:t>甲乙双方各执二份</w:t>
      </w:r>
      <w:permEnd w:id="11"/>
      <w:r>
        <w:rPr>
          <w:rFonts w:hint="eastAsia" w:ascii="仿宋" w:hAnsi="仿宋" w:eastAsia="仿宋" w:cs="Times New Roman"/>
          <w:sz w:val="28"/>
          <w:szCs w:val="28"/>
        </w:rPr>
        <w:t>，自双方授权代表签字并且盖双方公章或合同专用章之日起生效。根据本协议签署的基地研究生培养方案，构成本协议的一部分。未尽事宜，协议生效后任何一方要终止协议，必须</w:t>
      </w:r>
      <w:permStart w:id="12" w:edGrp="everyone"/>
      <w:r>
        <w:rPr>
          <w:rFonts w:hint="eastAsia" w:ascii="仿宋" w:hAnsi="仿宋" w:eastAsia="仿宋" w:cs="Times New Roman"/>
          <w:sz w:val="28"/>
          <w:szCs w:val="28"/>
        </w:rPr>
        <w:t>提前一年</w:t>
      </w:r>
      <w:permEnd w:id="12"/>
      <w:r>
        <w:rPr>
          <w:rFonts w:hint="eastAsia" w:ascii="仿宋" w:hAnsi="仿宋" w:eastAsia="仿宋" w:cs="Times New Roman"/>
          <w:sz w:val="28"/>
          <w:szCs w:val="28"/>
        </w:rPr>
        <w:t>书面通知另外一方。</w:t>
      </w:r>
    </w:p>
    <w:p w14:paraId="2AADE4E8">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2. 附件为本合同不可分割的部分。若附件与合同正文有任何不一致，以合同正文为准。</w:t>
      </w:r>
    </w:p>
    <w:p w14:paraId="53608FAC">
      <w:pPr>
        <w:spacing w:line="360" w:lineRule="auto"/>
        <w:ind w:firstLine="560" w:firstLineChars="200"/>
        <w:rPr>
          <w:rFonts w:ascii="仿宋" w:hAnsi="仿宋" w:eastAsia="仿宋" w:cs="Times New Roman"/>
          <w:bCs/>
          <w:sz w:val="28"/>
          <w:szCs w:val="28"/>
        </w:rPr>
      </w:pPr>
      <w:r>
        <w:rPr>
          <w:rFonts w:hint="eastAsia" w:ascii="仿宋" w:hAnsi="仿宋" w:eastAsia="仿宋" w:cs="Times New Roman"/>
          <w:sz w:val="28"/>
          <w:szCs w:val="28"/>
        </w:rPr>
        <w:t>3.</w:t>
      </w:r>
      <w:r>
        <w:rPr>
          <w:rFonts w:hint="eastAsia" w:ascii="仿宋" w:hAnsi="仿宋" w:eastAsia="仿宋" w:cs="Times New Roman"/>
          <w:bCs/>
          <w:sz w:val="28"/>
          <w:szCs w:val="28"/>
        </w:rPr>
        <w:t xml:space="preserve"> 除本合同另有约定外，乙方违反本合同有关约定或违反其在本合同项下所作之任何其他承诺、保证、确认的，乙方未按甲方要求限期改正的，甲方有权单方解除合同，而不承担任何责任。</w:t>
      </w:r>
    </w:p>
    <w:p w14:paraId="63E58B1D">
      <w:pPr>
        <w:spacing w:line="360" w:lineRule="auto"/>
        <w:ind w:firstLine="560" w:firstLineChars="200"/>
        <w:rPr>
          <w:rFonts w:ascii="仿宋" w:hAnsi="仿宋" w:eastAsia="仿宋" w:cs="Times New Roman"/>
          <w:sz w:val="28"/>
          <w:szCs w:val="28"/>
        </w:rPr>
      </w:pPr>
      <w:r>
        <w:rPr>
          <w:rFonts w:hint="eastAsia" w:ascii="仿宋" w:hAnsi="仿宋" w:eastAsia="仿宋" w:cs="Times New Roman"/>
          <w:bCs/>
          <w:sz w:val="28"/>
          <w:szCs w:val="28"/>
        </w:rPr>
        <w:t>4.</w:t>
      </w:r>
      <w:r>
        <w:rPr>
          <w:rFonts w:hint="eastAsia" w:ascii="仿宋" w:hAnsi="仿宋" w:eastAsia="仿宋" w:cs="Times New Roman"/>
          <w:sz w:val="28"/>
          <w:szCs w:val="28"/>
        </w:rPr>
        <w:t xml:space="preserve"> </w:t>
      </w:r>
      <w:r>
        <w:rPr>
          <w:rFonts w:hint="eastAsia" w:ascii="仿宋" w:hAnsi="仿宋" w:eastAsia="仿宋" w:cs="Times New Roman"/>
          <w:bCs/>
          <w:sz w:val="28"/>
          <w:szCs w:val="28"/>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70A62784">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（以下无正文）</w:t>
      </w:r>
    </w:p>
    <w:p w14:paraId="76DE251E">
      <w:pPr>
        <w:spacing w:line="360"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附件：联合培养研究生实践方案</w:t>
      </w:r>
    </w:p>
    <w:p w14:paraId="0A46D1E1">
      <w:pPr>
        <w:spacing w:line="360" w:lineRule="auto"/>
        <w:rPr>
          <w:rFonts w:ascii="仿宋" w:hAnsi="仿宋" w:eastAsia="仿宋" w:cs="Times New Roman"/>
          <w:sz w:val="28"/>
          <w:szCs w:val="28"/>
        </w:rPr>
      </w:pPr>
    </w:p>
    <w:tbl>
      <w:tblPr>
        <w:tblStyle w:val="9"/>
        <w:tblW w:w="8613" w:type="dxa"/>
        <w:tblInd w:w="0" w:type="dxa"/>
        <w:tblLayout w:type="fixed"/>
        <w:tblCellMar>
          <w:top w:w="0" w:type="dxa"/>
          <w:left w:w="108" w:type="dxa"/>
          <w:bottom w:w="0" w:type="dxa"/>
          <w:right w:w="108" w:type="dxa"/>
        </w:tblCellMar>
      </w:tblPr>
      <w:tblGrid>
        <w:gridCol w:w="4261"/>
        <w:gridCol w:w="4352"/>
      </w:tblGrid>
      <w:tr w14:paraId="30B64AE8">
        <w:tblPrEx>
          <w:tblCellMar>
            <w:top w:w="0" w:type="dxa"/>
            <w:left w:w="108" w:type="dxa"/>
            <w:bottom w:w="0" w:type="dxa"/>
            <w:right w:w="108" w:type="dxa"/>
          </w:tblCellMar>
        </w:tblPrEx>
        <w:tc>
          <w:tcPr>
            <w:tcW w:w="4261" w:type="dxa"/>
          </w:tcPr>
          <w:p w14:paraId="6F4F183E">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甲方单位（盖章）：</w:t>
            </w:r>
            <w:r>
              <w:rPr>
                <w:rFonts w:ascii="仿宋" w:hAnsi="仿宋" w:eastAsia="仿宋" w:cs="Times New Roman"/>
                <w:sz w:val="28"/>
                <w:szCs w:val="28"/>
              </w:rPr>
              <w:tab/>
            </w:r>
          </w:p>
        </w:tc>
        <w:tc>
          <w:tcPr>
            <w:tcW w:w="4352" w:type="dxa"/>
          </w:tcPr>
          <w:p w14:paraId="10B2082F">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乙方单位（盖章）：</w:t>
            </w:r>
          </w:p>
        </w:tc>
      </w:tr>
      <w:tr w14:paraId="472D8AFA">
        <w:tblPrEx>
          <w:tblCellMar>
            <w:top w:w="0" w:type="dxa"/>
            <w:left w:w="108" w:type="dxa"/>
            <w:bottom w:w="0" w:type="dxa"/>
            <w:right w:w="108" w:type="dxa"/>
          </w:tblCellMar>
        </w:tblPrEx>
        <w:tc>
          <w:tcPr>
            <w:tcW w:w="4261" w:type="dxa"/>
          </w:tcPr>
          <w:p w14:paraId="4EB2E13F">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授权代表（签字）：</w:t>
            </w:r>
            <w:r>
              <w:rPr>
                <w:rFonts w:ascii="仿宋" w:hAnsi="仿宋" w:eastAsia="仿宋" w:cs="Times New Roman"/>
                <w:sz w:val="28"/>
                <w:szCs w:val="28"/>
              </w:rPr>
              <w:t xml:space="preserve">  </w:t>
            </w:r>
          </w:p>
        </w:tc>
        <w:tc>
          <w:tcPr>
            <w:tcW w:w="4352" w:type="dxa"/>
          </w:tcPr>
          <w:p w14:paraId="57779FF5">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授权代表（签字）：</w:t>
            </w:r>
          </w:p>
        </w:tc>
      </w:tr>
      <w:tr w14:paraId="744722EE">
        <w:tblPrEx>
          <w:tblCellMar>
            <w:top w:w="0" w:type="dxa"/>
            <w:left w:w="108" w:type="dxa"/>
            <w:bottom w:w="0" w:type="dxa"/>
            <w:right w:w="108" w:type="dxa"/>
          </w:tblCellMar>
        </w:tblPrEx>
        <w:tc>
          <w:tcPr>
            <w:tcW w:w="4261" w:type="dxa"/>
          </w:tcPr>
          <w:p w14:paraId="356B4932">
            <w:pPr>
              <w:pStyle w:val="3"/>
              <w:spacing w:line="360" w:lineRule="auto"/>
              <w:ind w:firstLine="0"/>
              <w:rPr>
                <w:rFonts w:ascii="仿宋" w:hAnsi="仿宋" w:eastAsia="仿宋" w:cs="Times New Roman"/>
                <w:sz w:val="28"/>
                <w:szCs w:val="28"/>
              </w:rPr>
            </w:pPr>
            <w:permStart w:id="13" w:edGrp="everyone" w:colFirst="0" w:colLast="0"/>
            <w:permStart w:id="14" w:edGrp="everyone" w:colFirst="1" w:colLast="1"/>
            <w:r>
              <w:rPr>
                <w:rFonts w:hint="eastAsia" w:ascii="仿宋" w:hAnsi="仿宋" w:eastAsia="仿宋" w:cs="Times New Roman"/>
                <w:sz w:val="28"/>
                <w:szCs w:val="28"/>
              </w:rPr>
              <w:t>联系人：</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c>
          <w:tcPr>
            <w:tcW w:w="4352" w:type="dxa"/>
          </w:tcPr>
          <w:p w14:paraId="1E920289">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联系人：</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r>
      <w:permEnd w:id="13"/>
      <w:permEnd w:id="14"/>
      <w:tr w14:paraId="3619D267">
        <w:tblPrEx>
          <w:tblCellMar>
            <w:top w:w="0" w:type="dxa"/>
            <w:left w:w="108" w:type="dxa"/>
            <w:bottom w:w="0" w:type="dxa"/>
            <w:right w:w="108" w:type="dxa"/>
          </w:tblCellMar>
        </w:tblPrEx>
        <w:tc>
          <w:tcPr>
            <w:tcW w:w="4261" w:type="dxa"/>
          </w:tcPr>
          <w:p w14:paraId="2BE9CD9E">
            <w:pPr>
              <w:pStyle w:val="3"/>
              <w:spacing w:line="360" w:lineRule="auto"/>
              <w:ind w:firstLine="0"/>
              <w:rPr>
                <w:rFonts w:ascii="仿宋" w:hAnsi="仿宋" w:eastAsia="仿宋" w:cs="Times New Roman"/>
                <w:sz w:val="28"/>
                <w:szCs w:val="28"/>
              </w:rPr>
            </w:pPr>
            <w:permStart w:id="15" w:edGrp="everyone" w:colFirst="0" w:colLast="0"/>
            <w:permStart w:id="16" w:edGrp="everyone" w:colFirst="1" w:colLast="1"/>
            <w:r>
              <w:rPr>
                <w:rFonts w:hint="eastAsia" w:ascii="仿宋" w:hAnsi="仿宋" w:eastAsia="仿宋" w:cs="Times New Roman"/>
                <w:sz w:val="28"/>
                <w:szCs w:val="28"/>
              </w:rPr>
              <w:t>联系地址：</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c>
          <w:tcPr>
            <w:tcW w:w="4352" w:type="dxa"/>
          </w:tcPr>
          <w:p w14:paraId="0BD9EDF7">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联系地址：</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r>
      <w:permEnd w:id="15"/>
      <w:permEnd w:id="16"/>
      <w:tr w14:paraId="102C41E2">
        <w:tblPrEx>
          <w:tblCellMar>
            <w:top w:w="0" w:type="dxa"/>
            <w:left w:w="108" w:type="dxa"/>
            <w:bottom w:w="0" w:type="dxa"/>
            <w:right w:w="108" w:type="dxa"/>
          </w:tblCellMar>
        </w:tblPrEx>
        <w:tc>
          <w:tcPr>
            <w:tcW w:w="4261" w:type="dxa"/>
          </w:tcPr>
          <w:p w14:paraId="7EB4E7CE">
            <w:pPr>
              <w:pStyle w:val="3"/>
              <w:spacing w:line="360" w:lineRule="auto"/>
              <w:ind w:firstLine="0"/>
              <w:rPr>
                <w:rFonts w:ascii="仿宋" w:hAnsi="仿宋" w:eastAsia="仿宋" w:cs="Times New Roman"/>
                <w:sz w:val="28"/>
                <w:szCs w:val="28"/>
              </w:rPr>
            </w:pPr>
            <w:permStart w:id="17" w:edGrp="everyone" w:colFirst="0" w:colLast="0"/>
            <w:permStart w:id="18" w:edGrp="everyone" w:colFirst="1" w:colLast="1"/>
            <w:r>
              <w:rPr>
                <w:rFonts w:hint="eastAsia" w:ascii="仿宋" w:hAnsi="仿宋" w:eastAsia="仿宋" w:cs="Times New Roman"/>
                <w:sz w:val="28"/>
                <w:szCs w:val="28"/>
              </w:rPr>
              <w:t>联系电话：</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c>
          <w:tcPr>
            <w:tcW w:w="4352" w:type="dxa"/>
          </w:tcPr>
          <w:p w14:paraId="23EFAA52">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联系电话：</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r>
      <w:permEnd w:id="17"/>
      <w:permEnd w:id="18"/>
      <w:tr w14:paraId="481DE1C6">
        <w:tblPrEx>
          <w:tblCellMar>
            <w:top w:w="0" w:type="dxa"/>
            <w:left w:w="108" w:type="dxa"/>
            <w:bottom w:w="0" w:type="dxa"/>
            <w:right w:w="108" w:type="dxa"/>
          </w:tblCellMar>
        </w:tblPrEx>
        <w:tc>
          <w:tcPr>
            <w:tcW w:w="4261" w:type="dxa"/>
          </w:tcPr>
          <w:p w14:paraId="26DC7418">
            <w:pPr>
              <w:pStyle w:val="3"/>
              <w:spacing w:line="360" w:lineRule="auto"/>
              <w:ind w:firstLine="0"/>
              <w:rPr>
                <w:rFonts w:ascii="仿宋" w:hAnsi="仿宋" w:eastAsia="仿宋" w:cs="Times New Roman"/>
                <w:sz w:val="28"/>
                <w:szCs w:val="28"/>
              </w:rPr>
            </w:pPr>
            <w:permStart w:id="19" w:edGrp="everyone" w:colFirst="0" w:colLast="0"/>
            <w:permStart w:id="20" w:edGrp="everyone" w:colFirst="1" w:colLast="1"/>
            <w:r>
              <w:rPr>
                <w:rFonts w:hint="eastAsia" w:ascii="仿宋" w:hAnsi="仿宋" w:eastAsia="仿宋" w:cs="Times New Roman"/>
                <w:sz w:val="28"/>
                <w:szCs w:val="28"/>
              </w:rPr>
              <w:t>电子邮件：</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c>
          <w:tcPr>
            <w:tcW w:w="4352" w:type="dxa"/>
          </w:tcPr>
          <w:p w14:paraId="6D163424">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电子邮件：</w:t>
            </w:r>
            <w:r>
              <w:rPr>
                <w:rFonts w:ascii="仿宋" w:hAnsi="仿宋" w:eastAsia="仿宋" w:cs="Times New Roman"/>
                <w:sz w:val="28"/>
                <w:szCs w:val="28"/>
              </w:rPr>
              <w:t xml:space="preserve"> </w:t>
            </w:r>
            <w:r>
              <w:rPr>
                <w:rFonts w:hint="eastAsia" w:ascii="仿宋" w:hAnsi="仿宋" w:eastAsia="仿宋" w:cs="Times New Roman"/>
                <w:sz w:val="28"/>
                <w:szCs w:val="28"/>
              </w:rPr>
              <w:t>（请填写）</w:t>
            </w:r>
          </w:p>
        </w:tc>
      </w:tr>
      <w:permEnd w:id="19"/>
      <w:permEnd w:id="20"/>
      <w:tr w14:paraId="42A49C6C">
        <w:tblPrEx>
          <w:tblCellMar>
            <w:top w:w="0" w:type="dxa"/>
            <w:left w:w="108" w:type="dxa"/>
            <w:bottom w:w="0" w:type="dxa"/>
            <w:right w:w="108" w:type="dxa"/>
          </w:tblCellMar>
        </w:tblPrEx>
        <w:tc>
          <w:tcPr>
            <w:tcW w:w="4261" w:type="dxa"/>
          </w:tcPr>
          <w:p w14:paraId="503DCAC8">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签订日期</w:t>
            </w:r>
            <w:r>
              <w:rPr>
                <w:rFonts w:ascii="仿宋" w:hAnsi="仿宋" w:eastAsia="仿宋" w:cs="Times New Roman"/>
                <w:sz w:val="28"/>
                <w:szCs w:val="28"/>
              </w:rPr>
              <w:t xml:space="preserve">:    </w:t>
            </w:r>
            <w:r>
              <w:rPr>
                <w:rFonts w:hint="eastAsia" w:ascii="仿宋" w:hAnsi="仿宋" w:eastAsia="仿宋" w:cs="Times New Roman"/>
                <w:sz w:val="28"/>
                <w:szCs w:val="28"/>
              </w:rPr>
              <w:t>年</w:t>
            </w:r>
            <w:r>
              <w:rPr>
                <w:rFonts w:ascii="仿宋" w:hAnsi="仿宋" w:eastAsia="仿宋" w:cs="Times New Roman"/>
                <w:sz w:val="28"/>
                <w:szCs w:val="28"/>
              </w:rPr>
              <w:t xml:space="preserve">    </w:t>
            </w:r>
            <w:r>
              <w:rPr>
                <w:rFonts w:hint="eastAsia" w:ascii="仿宋" w:hAnsi="仿宋" w:eastAsia="仿宋" w:cs="Times New Roman"/>
                <w:sz w:val="28"/>
                <w:szCs w:val="28"/>
              </w:rPr>
              <w:t>月</w:t>
            </w:r>
            <w:r>
              <w:rPr>
                <w:rFonts w:ascii="仿宋" w:hAnsi="仿宋" w:eastAsia="仿宋" w:cs="Times New Roman"/>
                <w:sz w:val="28"/>
                <w:szCs w:val="28"/>
              </w:rPr>
              <w:t xml:space="preserve">    </w:t>
            </w:r>
            <w:r>
              <w:rPr>
                <w:rFonts w:hint="eastAsia" w:ascii="仿宋" w:hAnsi="仿宋" w:eastAsia="仿宋" w:cs="Times New Roman"/>
                <w:sz w:val="28"/>
                <w:szCs w:val="28"/>
              </w:rPr>
              <w:t>日</w:t>
            </w:r>
          </w:p>
        </w:tc>
        <w:tc>
          <w:tcPr>
            <w:tcW w:w="4352" w:type="dxa"/>
          </w:tcPr>
          <w:p w14:paraId="36987102">
            <w:pPr>
              <w:pStyle w:val="3"/>
              <w:spacing w:line="360" w:lineRule="auto"/>
              <w:ind w:firstLine="0"/>
              <w:rPr>
                <w:rFonts w:ascii="仿宋" w:hAnsi="仿宋" w:eastAsia="仿宋" w:cs="Times New Roman"/>
                <w:sz w:val="28"/>
                <w:szCs w:val="28"/>
              </w:rPr>
            </w:pPr>
            <w:r>
              <w:rPr>
                <w:rFonts w:hint="eastAsia" w:ascii="仿宋" w:hAnsi="仿宋" w:eastAsia="仿宋" w:cs="Times New Roman"/>
                <w:sz w:val="28"/>
                <w:szCs w:val="28"/>
              </w:rPr>
              <w:t>签订日期</w:t>
            </w:r>
            <w:r>
              <w:rPr>
                <w:rFonts w:ascii="仿宋" w:hAnsi="仿宋" w:eastAsia="仿宋" w:cs="Times New Roman"/>
                <w:sz w:val="28"/>
                <w:szCs w:val="28"/>
              </w:rPr>
              <w:t xml:space="preserve">:    </w:t>
            </w:r>
            <w:r>
              <w:rPr>
                <w:rFonts w:hint="eastAsia" w:ascii="仿宋" w:hAnsi="仿宋" w:eastAsia="仿宋" w:cs="Times New Roman"/>
                <w:sz w:val="28"/>
                <w:szCs w:val="28"/>
              </w:rPr>
              <w:t>年</w:t>
            </w:r>
            <w:r>
              <w:rPr>
                <w:rFonts w:ascii="仿宋" w:hAnsi="仿宋" w:eastAsia="仿宋" w:cs="Times New Roman"/>
                <w:sz w:val="28"/>
                <w:szCs w:val="28"/>
              </w:rPr>
              <w:t xml:space="preserve">    </w:t>
            </w:r>
            <w:r>
              <w:rPr>
                <w:rFonts w:hint="eastAsia" w:ascii="仿宋" w:hAnsi="仿宋" w:eastAsia="仿宋" w:cs="Times New Roman"/>
                <w:sz w:val="28"/>
                <w:szCs w:val="28"/>
              </w:rPr>
              <w:t>月</w:t>
            </w:r>
            <w:r>
              <w:rPr>
                <w:rFonts w:ascii="仿宋" w:hAnsi="仿宋" w:eastAsia="仿宋" w:cs="Times New Roman"/>
                <w:sz w:val="28"/>
                <w:szCs w:val="28"/>
              </w:rPr>
              <w:t xml:space="preserve">    </w:t>
            </w:r>
            <w:r>
              <w:rPr>
                <w:rFonts w:hint="eastAsia" w:ascii="仿宋" w:hAnsi="仿宋" w:eastAsia="仿宋" w:cs="Times New Roman"/>
                <w:sz w:val="28"/>
                <w:szCs w:val="28"/>
              </w:rPr>
              <w:t>日</w:t>
            </w:r>
          </w:p>
        </w:tc>
      </w:tr>
      <w:tr w14:paraId="030B4DDB">
        <w:tblPrEx>
          <w:tblCellMar>
            <w:top w:w="0" w:type="dxa"/>
            <w:left w:w="108" w:type="dxa"/>
            <w:bottom w:w="0" w:type="dxa"/>
            <w:right w:w="108" w:type="dxa"/>
          </w:tblCellMar>
        </w:tblPrEx>
        <w:tc>
          <w:tcPr>
            <w:tcW w:w="4261" w:type="dxa"/>
          </w:tcPr>
          <w:p w14:paraId="55E5AC11">
            <w:pPr>
              <w:pStyle w:val="3"/>
              <w:spacing w:line="360" w:lineRule="auto"/>
              <w:ind w:firstLine="0"/>
              <w:rPr>
                <w:rFonts w:ascii="仿宋" w:hAnsi="仿宋" w:eastAsia="仿宋" w:cs="Times New Roman"/>
                <w:sz w:val="28"/>
                <w:szCs w:val="28"/>
              </w:rPr>
            </w:pPr>
            <w:permStart w:id="21" w:edGrp="everyone"/>
          </w:p>
        </w:tc>
        <w:tc>
          <w:tcPr>
            <w:tcW w:w="4352" w:type="dxa"/>
          </w:tcPr>
          <w:p w14:paraId="547D4FE6">
            <w:pPr>
              <w:pStyle w:val="3"/>
              <w:spacing w:line="360" w:lineRule="auto"/>
              <w:ind w:firstLine="0"/>
              <w:rPr>
                <w:rFonts w:ascii="仿宋" w:hAnsi="仿宋" w:eastAsia="仿宋" w:cs="Times New Roman"/>
                <w:sz w:val="28"/>
                <w:szCs w:val="28"/>
              </w:rPr>
            </w:pPr>
          </w:p>
        </w:tc>
      </w:tr>
    </w:tbl>
    <w:p w14:paraId="71F9589B">
      <w:pPr>
        <w:widowControl/>
        <w:spacing w:line="360" w:lineRule="auto"/>
        <w:jc w:val="left"/>
        <w:rPr>
          <w:rFonts w:ascii="仿宋" w:hAnsi="仿宋" w:eastAsia="仿宋" w:cs="Times New Roman"/>
          <w:b/>
          <w:sz w:val="28"/>
          <w:szCs w:val="28"/>
        </w:rPr>
      </w:pPr>
      <w:r>
        <w:rPr>
          <w:rFonts w:hint="eastAsia" w:ascii="仿宋" w:hAnsi="仿宋" w:eastAsia="仿宋" w:cs="Times New Roman"/>
          <w:b/>
          <w:sz w:val="28"/>
          <w:szCs w:val="28"/>
        </w:rPr>
        <w:t>附件：</w:t>
      </w:r>
      <w:r>
        <w:rPr>
          <w:rFonts w:hint="eastAsia" w:ascii="仿宋" w:hAnsi="仿宋" w:eastAsia="仿宋"/>
          <w:b/>
          <w:sz w:val="28"/>
          <w:szCs w:val="28"/>
        </w:rPr>
        <w:t>联合培养研究生实践方案</w:t>
      </w:r>
    </w:p>
    <w:p w14:paraId="51B7FFC0">
      <w:pPr>
        <w:spacing w:before="156" w:beforeLines="50" w:line="360" w:lineRule="auto"/>
        <w:ind w:firstLine="422" w:firstLineChars="150"/>
        <w:jc w:val="left"/>
        <w:rPr>
          <w:rFonts w:ascii="仿宋" w:hAnsi="仿宋" w:eastAsia="仿宋"/>
          <w:b/>
          <w:sz w:val="28"/>
          <w:szCs w:val="28"/>
        </w:rPr>
      </w:pPr>
      <w:r>
        <w:rPr>
          <w:rFonts w:hint="eastAsia" w:ascii="仿宋" w:hAnsi="仿宋" w:eastAsia="仿宋"/>
          <w:b/>
          <w:sz w:val="28"/>
          <w:szCs w:val="28"/>
        </w:rPr>
        <w:t>一、课程学习及实践工作安排</w:t>
      </w:r>
    </w:p>
    <w:p w14:paraId="7C99F29F">
      <w:pPr>
        <w:spacing w:line="360" w:lineRule="auto"/>
        <w:ind w:firstLine="560" w:firstLineChars="200"/>
        <w:jc w:val="left"/>
        <w:rPr>
          <w:rFonts w:ascii="仿宋" w:hAnsi="仿宋" w:eastAsia="仿宋"/>
          <w:sz w:val="28"/>
          <w:szCs w:val="28"/>
          <w:u w:val="single"/>
        </w:rPr>
      </w:pPr>
      <w:r>
        <w:rPr>
          <w:rFonts w:hint="eastAsia" w:ascii="仿宋" w:hAnsi="仿宋" w:eastAsia="仿宋"/>
          <w:sz w:val="28"/>
          <w:szCs w:val="28"/>
        </w:rPr>
        <w:t>联合培养研究生第一学年或第一学期首先在校内完成课程学习，之后根据双方导师到基地开展课题研究和专业实践，专业实践结束后，返校完成后续研究和论文撰写、答辩工作。</w:t>
      </w:r>
    </w:p>
    <w:p w14:paraId="0073C763">
      <w:pPr>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二、双方导师安排</w:t>
      </w:r>
    </w:p>
    <w:p w14:paraId="4A9C45CB">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联合培养研究生实行校内导师和基地导师共同负责的制度。</w:t>
      </w:r>
    </w:p>
    <w:p w14:paraId="694BD588">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校内导师为通过华南农业大学研究生导师聘任程序的在职教师，负责把握研究生培养质量、论文课题研究进度和学位论文水平。</w:t>
      </w:r>
    </w:p>
    <w:p w14:paraId="19046A04">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基地导师需具有较深理论学术水平和实践经验，并有高级职称资格，需要通过联合培养委员会的遴选。同时，建立基地导师培训制度，及时对新聘导师进行培训，使之上岗之前明确研究生导师的职责，熟悉研究生培养过程中各阶段的要求和标准，有计划有步骤的培养研究生，并培育出创新成果。从而和高校导师相互配合，完成研究生培养工作。</w:t>
      </w:r>
    </w:p>
    <w:p w14:paraId="2DA6DE32">
      <w:pPr>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三、论文选题来源</w:t>
      </w:r>
    </w:p>
    <w:p w14:paraId="1F9DA7BC">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校内导师与基地导师共同协商研究生的论文选题。根据两个导师承担的科研课题情况和学生专业基础、研究兴趣等，从学术性、工作量等综合考虑，为研究生确定合适的论文选题。</w:t>
      </w:r>
    </w:p>
    <w:p w14:paraId="1665C4CF">
      <w:pPr>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四、论文答辩和学位授予</w:t>
      </w:r>
    </w:p>
    <w:p w14:paraId="3AF748CD">
      <w:pPr>
        <w:widowControl/>
        <w:snapToGrid/>
        <w:spacing w:line="360" w:lineRule="auto"/>
        <w:ind w:firstLine="560" w:firstLineChars="200"/>
        <w:jc w:val="left"/>
        <w:rPr>
          <w:rFonts w:ascii="仿宋" w:hAnsi="仿宋" w:eastAsia="仿宋"/>
          <w:sz w:val="28"/>
          <w:szCs w:val="28"/>
        </w:rPr>
      </w:pPr>
      <w:r>
        <w:rPr>
          <w:rFonts w:hint="eastAsia" w:ascii="仿宋" w:hAnsi="仿宋" w:eastAsia="仿宋"/>
          <w:sz w:val="28"/>
          <w:szCs w:val="28"/>
        </w:rPr>
        <w:t>联合培养研究生的答辩和学位授予工作由甲方负责，按甲方相关规定执行。</w:t>
      </w:r>
      <w:permEnd w:id="21"/>
    </w:p>
    <w:sectPr>
      <w:footerReference r:id="rId5"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陈华全" w:date="2021-03-10T17:29:00Z" w:initials="陈">
    <w:p w14:paraId="20A42350">
      <w:pPr>
        <w:pStyle w:val="2"/>
      </w:pPr>
      <w:r>
        <w:rPr>
          <w:rFonts w:hint="eastAsia"/>
        </w:rPr>
        <w:t>不少于5人</w:t>
      </w:r>
    </w:p>
  </w:comment>
  <w:comment w:id="1" w:author="陈华全" w:date="2021-03-10T17:29:00Z" w:initials="陈">
    <w:p w14:paraId="4365DCD3">
      <w:pPr>
        <w:pStyle w:val="2"/>
      </w:pPr>
      <w:r>
        <w:rPr>
          <w:rFonts w:hint="eastAsia" w:ascii="仿宋" w:hAnsi="仿宋" w:eastAsia="仿宋"/>
          <w:sz w:val="28"/>
          <w:szCs w:val="28"/>
        </w:rPr>
        <w:t>建议6个月左右</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A42350" w15:done="0"/>
  <w15:commentEx w15:paraId="4365DCD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7073896"/>
    </w:sdtPr>
    <w:sdtContent>
      <w:sdt>
        <w:sdtPr>
          <w:id w:val="-1669238322"/>
        </w:sdtPr>
        <w:sdtContent>
          <w:p w14:paraId="541DF815">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10</w:t>
            </w:r>
            <w:r>
              <w:rPr>
                <w:b/>
                <w:bCs/>
                <w:sz w:val="24"/>
                <w:szCs w:val="24"/>
              </w:rPr>
              <w:fldChar w:fldCharType="end"/>
            </w:r>
          </w:p>
        </w:sdtContent>
      </w:sdt>
    </w:sdtContent>
  </w:sdt>
  <w:p w14:paraId="4DCCD4E8">
    <w:pPr>
      <w:pStyle w:val="5"/>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华全">
    <w15:presenceInfo w15:providerId="WPS Office" w15:userId="2630777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3MTA1MzIzNTgwMmRlOTI0MjVhOTc4MTZkYjllNzkifQ=="/>
  </w:docVars>
  <w:rsids>
    <w:rsidRoot w:val="00B671F7"/>
    <w:rsid w:val="0002460D"/>
    <w:rsid w:val="00025421"/>
    <w:rsid w:val="00025C09"/>
    <w:rsid w:val="00041FD8"/>
    <w:rsid w:val="000703B4"/>
    <w:rsid w:val="000C1ED7"/>
    <w:rsid w:val="00110707"/>
    <w:rsid w:val="00127648"/>
    <w:rsid w:val="00150230"/>
    <w:rsid w:val="001A53DC"/>
    <w:rsid w:val="001B744F"/>
    <w:rsid w:val="001D442F"/>
    <w:rsid w:val="001E451C"/>
    <w:rsid w:val="001E7EF7"/>
    <w:rsid w:val="001F6F86"/>
    <w:rsid w:val="00210D47"/>
    <w:rsid w:val="00247F95"/>
    <w:rsid w:val="002500D6"/>
    <w:rsid w:val="00272700"/>
    <w:rsid w:val="002C463D"/>
    <w:rsid w:val="002D5E19"/>
    <w:rsid w:val="00300800"/>
    <w:rsid w:val="00301CEC"/>
    <w:rsid w:val="00304D9A"/>
    <w:rsid w:val="003136B8"/>
    <w:rsid w:val="00323E77"/>
    <w:rsid w:val="003368BF"/>
    <w:rsid w:val="00357584"/>
    <w:rsid w:val="003734AF"/>
    <w:rsid w:val="00376977"/>
    <w:rsid w:val="003D1DB2"/>
    <w:rsid w:val="003E04E8"/>
    <w:rsid w:val="003E7E73"/>
    <w:rsid w:val="003F0777"/>
    <w:rsid w:val="003F15B1"/>
    <w:rsid w:val="004021BB"/>
    <w:rsid w:val="00403221"/>
    <w:rsid w:val="00424CA8"/>
    <w:rsid w:val="00433D40"/>
    <w:rsid w:val="00461E71"/>
    <w:rsid w:val="0047279A"/>
    <w:rsid w:val="004759C7"/>
    <w:rsid w:val="00487E63"/>
    <w:rsid w:val="004941AF"/>
    <w:rsid w:val="004C7C8A"/>
    <w:rsid w:val="004D4656"/>
    <w:rsid w:val="004E19E2"/>
    <w:rsid w:val="004E55DE"/>
    <w:rsid w:val="00546C3E"/>
    <w:rsid w:val="00552DF0"/>
    <w:rsid w:val="00565842"/>
    <w:rsid w:val="00582448"/>
    <w:rsid w:val="005C26EE"/>
    <w:rsid w:val="005C33AE"/>
    <w:rsid w:val="005D1430"/>
    <w:rsid w:val="005E122F"/>
    <w:rsid w:val="00616FB7"/>
    <w:rsid w:val="00626F9E"/>
    <w:rsid w:val="00632F7E"/>
    <w:rsid w:val="00642E04"/>
    <w:rsid w:val="00643EFC"/>
    <w:rsid w:val="006535A5"/>
    <w:rsid w:val="006B6E95"/>
    <w:rsid w:val="006D6D29"/>
    <w:rsid w:val="006F6A7F"/>
    <w:rsid w:val="00700BFB"/>
    <w:rsid w:val="00701247"/>
    <w:rsid w:val="00723BA9"/>
    <w:rsid w:val="00730FEC"/>
    <w:rsid w:val="00736878"/>
    <w:rsid w:val="00752BBE"/>
    <w:rsid w:val="00794864"/>
    <w:rsid w:val="007A6F12"/>
    <w:rsid w:val="007C1BED"/>
    <w:rsid w:val="007C70AB"/>
    <w:rsid w:val="007F498B"/>
    <w:rsid w:val="007F6C37"/>
    <w:rsid w:val="008028B7"/>
    <w:rsid w:val="00806D94"/>
    <w:rsid w:val="00824D71"/>
    <w:rsid w:val="00832050"/>
    <w:rsid w:val="00834FCF"/>
    <w:rsid w:val="00843B27"/>
    <w:rsid w:val="00856304"/>
    <w:rsid w:val="0089627F"/>
    <w:rsid w:val="00897097"/>
    <w:rsid w:val="008A19E2"/>
    <w:rsid w:val="008B54DC"/>
    <w:rsid w:val="008C29EF"/>
    <w:rsid w:val="009031C5"/>
    <w:rsid w:val="00914AA4"/>
    <w:rsid w:val="00935921"/>
    <w:rsid w:val="009432A4"/>
    <w:rsid w:val="009556BE"/>
    <w:rsid w:val="009676A8"/>
    <w:rsid w:val="00977567"/>
    <w:rsid w:val="009A6285"/>
    <w:rsid w:val="009B1456"/>
    <w:rsid w:val="009C3B4A"/>
    <w:rsid w:val="009E5A4F"/>
    <w:rsid w:val="009F656D"/>
    <w:rsid w:val="00A15035"/>
    <w:rsid w:val="00A37EB1"/>
    <w:rsid w:val="00A74468"/>
    <w:rsid w:val="00A867AC"/>
    <w:rsid w:val="00AC619D"/>
    <w:rsid w:val="00AE0FB6"/>
    <w:rsid w:val="00AE1A79"/>
    <w:rsid w:val="00AE74FB"/>
    <w:rsid w:val="00AF41D5"/>
    <w:rsid w:val="00B162B6"/>
    <w:rsid w:val="00B42B49"/>
    <w:rsid w:val="00B473AD"/>
    <w:rsid w:val="00B66143"/>
    <w:rsid w:val="00B671F7"/>
    <w:rsid w:val="00B67208"/>
    <w:rsid w:val="00B726E1"/>
    <w:rsid w:val="00B80643"/>
    <w:rsid w:val="00BA58D2"/>
    <w:rsid w:val="00BA64DA"/>
    <w:rsid w:val="00BF095B"/>
    <w:rsid w:val="00BF3793"/>
    <w:rsid w:val="00C24881"/>
    <w:rsid w:val="00C27FCB"/>
    <w:rsid w:val="00C377D5"/>
    <w:rsid w:val="00C46A22"/>
    <w:rsid w:val="00C56F80"/>
    <w:rsid w:val="00C71699"/>
    <w:rsid w:val="00CA3C9B"/>
    <w:rsid w:val="00CB5DB2"/>
    <w:rsid w:val="00CB7EE0"/>
    <w:rsid w:val="00D0746A"/>
    <w:rsid w:val="00D10CB3"/>
    <w:rsid w:val="00D113B9"/>
    <w:rsid w:val="00D2287A"/>
    <w:rsid w:val="00D37860"/>
    <w:rsid w:val="00D4387D"/>
    <w:rsid w:val="00D5645F"/>
    <w:rsid w:val="00D60940"/>
    <w:rsid w:val="00D619E3"/>
    <w:rsid w:val="00D646B3"/>
    <w:rsid w:val="00D82723"/>
    <w:rsid w:val="00D82F67"/>
    <w:rsid w:val="00D964E2"/>
    <w:rsid w:val="00DA3112"/>
    <w:rsid w:val="00DA750A"/>
    <w:rsid w:val="00DD1F05"/>
    <w:rsid w:val="00E01BE7"/>
    <w:rsid w:val="00E066AB"/>
    <w:rsid w:val="00E24340"/>
    <w:rsid w:val="00E314E9"/>
    <w:rsid w:val="00E63BA8"/>
    <w:rsid w:val="00E66218"/>
    <w:rsid w:val="00E93116"/>
    <w:rsid w:val="00EE7836"/>
    <w:rsid w:val="00EE7AB1"/>
    <w:rsid w:val="00EF520F"/>
    <w:rsid w:val="00F14E52"/>
    <w:rsid w:val="00F27233"/>
    <w:rsid w:val="00F4315C"/>
    <w:rsid w:val="00F56B9D"/>
    <w:rsid w:val="00F65744"/>
    <w:rsid w:val="00F7081E"/>
    <w:rsid w:val="00F71153"/>
    <w:rsid w:val="00F834D5"/>
    <w:rsid w:val="00FA5D9A"/>
    <w:rsid w:val="00FE1641"/>
    <w:rsid w:val="00FF2254"/>
    <w:rsid w:val="02FC6355"/>
    <w:rsid w:val="05B0654D"/>
    <w:rsid w:val="0D782AC9"/>
    <w:rsid w:val="11A622AD"/>
    <w:rsid w:val="17F66A50"/>
    <w:rsid w:val="25F21B82"/>
    <w:rsid w:val="26A56A8E"/>
    <w:rsid w:val="2C2E23D6"/>
    <w:rsid w:val="3D35775D"/>
    <w:rsid w:val="3EE96BDB"/>
    <w:rsid w:val="416549EE"/>
    <w:rsid w:val="4AED41CC"/>
    <w:rsid w:val="4CBF5F33"/>
    <w:rsid w:val="52D059D9"/>
    <w:rsid w:val="5AE75DF8"/>
    <w:rsid w:val="5B6C6CBF"/>
    <w:rsid w:val="61892A6D"/>
    <w:rsid w:val="64C72A45"/>
    <w:rsid w:val="77995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ody Text Indent 2"/>
    <w:basedOn w:val="1"/>
    <w:link w:val="19"/>
    <w:qFormat/>
    <w:uiPriority w:val="0"/>
    <w:pPr>
      <w:ind w:firstLine="600"/>
    </w:pPr>
    <w:rPr>
      <w:sz w:val="24"/>
    </w:rPr>
  </w:style>
  <w:style w:type="paragraph" w:styleId="4">
    <w:name w:val="Balloon Text"/>
    <w:basedOn w:val="1"/>
    <w:link w:val="12"/>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批注框文本 Char"/>
    <w:basedOn w:val="10"/>
    <w:link w:val="4"/>
    <w:semiHidden/>
    <w:qFormat/>
    <w:uiPriority w:val="99"/>
    <w:rPr>
      <w:sz w:val="18"/>
      <w:szCs w:val="18"/>
    </w:rPr>
  </w:style>
  <w:style w:type="character" w:customStyle="1" w:styleId="13">
    <w:name w:val="页眉 Char"/>
    <w:basedOn w:val="10"/>
    <w:link w:val="6"/>
    <w:qFormat/>
    <w:uiPriority w:val="99"/>
    <w:rPr>
      <w:sz w:val="18"/>
      <w:szCs w:val="18"/>
    </w:rPr>
  </w:style>
  <w:style w:type="character" w:customStyle="1" w:styleId="14">
    <w:name w:val="页脚 Char"/>
    <w:basedOn w:val="10"/>
    <w:link w:val="5"/>
    <w:qFormat/>
    <w:uiPriority w:val="99"/>
    <w:rPr>
      <w:sz w:val="18"/>
      <w:szCs w:val="18"/>
    </w:rPr>
  </w:style>
  <w:style w:type="paragraph" w:customStyle="1" w:styleId="15">
    <w:name w:val="Char Char Char Char Char Char Char Char Char Char"/>
    <w:basedOn w:val="1"/>
    <w:qFormat/>
    <w:uiPriority w:val="0"/>
    <w:rPr>
      <w:rFonts w:ascii="Tahoma" w:hAnsi="Tahoma" w:eastAsia="宋体" w:cs="Times New Roman"/>
      <w:sz w:val="24"/>
      <w:szCs w:val="20"/>
    </w:rPr>
  </w:style>
  <w:style w:type="character" w:customStyle="1" w:styleId="16">
    <w:name w:val="批注文字 Char"/>
    <w:basedOn w:val="10"/>
    <w:link w:val="2"/>
    <w:semiHidden/>
    <w:qFormat/>
    <w:uiPriority w:val="99"/>
  </w:style>
  <w:style w:type="character" w:customStyle="1" w:styleId="17">
    <w:name w:val="批注主题 Char"/>
    <w:basedOn w:val="16"/>
    <w:link w:val="8"/>
    <w:semiHidden/>
    <w:qFormat/>
    <w:uiPriority w:val="99"/>
    <w:rPr>
      <w:b/>
      <w:bCs/>
    </w:rPr>
  </w:style>
  <w:style w:type="paragraph" w:styleId="18">
    <w:name w:val="List Paragraph"/>
    <w:basedOn w:val="1"/>
    <w:qFormat/>
    <w:uiPriority w:val="34"/>
    <w:pPr>
      <w:ind w:firstLine="420" w:firstLineChars="200"/>
    </w:pPr>
  </w:style>
  <w:style w:type="character" w:customStyle="1" w:styleId="19">
    <w:name w:val="正文文本缩进 2 Char1"/>
    <w:link w:val="3"/>
    <w:qFormat/>
    <w:uiPriority w:val="0"/>
    <w:rPr>
      <w:sz w:val="24"/>
    </w:rPr>
  </w:style>
  <w:style w:type="character" w:customStyle="1" w:styleId="20">
    <w:name w:val="正文文本缩进 2 Char"/>
    <w:basedOn w:val="10"/>
    <w:semiHidden/>
    <w:qFormat/>
    <w:uiPriority w:val="99"/>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5</Pages>
  <Words>3186</Words>
  <Characters>3222</Characters>
  <Lines>28</Lines>
  <Paragraphs>7</Paragraphs>
  <TotalTime>35</TotalTime>
  <ScaleCrop>false</ScaleCrop>
  <LinksUpToDate>false</LinksUpToDate>
  <CharactersWithSpaces>3625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2020-12-31T04:45:00Z</dcterms:created>
  <dc:creator>陈翱</dc:creator>
  <cp:lastModifiedBy>陈华全</cp:lastModifiedBy>
  <cp:lastPrinted>2017-03-30T01:11:00Z</cp:lastPrinted>
  <dcterms:modified xsi:type="dcterms:W3CDTF">2024-12-20T03:39:20Z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6351B04CB2A44AF39DA154D02B2329C3</vt:lpwstr>
  </property>
</Properties>
</file>