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40" w:lineRule="exact"/>
        <w:jc w:val="center"/>
        <w:rPr>
          <w:rFonts w:asci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ascii="华文中宋" w:eastAsia="华文中宋" w:hint="eastAsia"/>
          <w:b/>
          <w:sz w:val="32"/>
          <w:szCs w:val="32"/>
        </w:rPr>
        <w:t>《工程伦理》公共课程视频案例制作规范</w:t>
      </w:r>
    </w:p>
    <w:p>
      <w:pPr>
        <w:spacing w:line="440" w:lineRule="exact"/>
        <w:jc w:val="left"/>
        <w:rPr>
          <w:rFonts w:ascii="仿宋" w:eastAsia="仿宋"/>
          <w:sz w:val="28"/>
          <w:szCs w:val="28"/>
        </w:rPr>
      </w:pPr>
    </w:p>
    <w:p>
      <w:pPr>
        <w:spacing w:line="440" w:lineRule="exact"/>
        <w:jc w:val="left"/>
        <w:rPr>
          <w:rFonts w:ascii="仿宋" w:eastAsia="仿宋"/>
          <w:sz w:val="28"/>
          <w:szCs w:val="28"/>
        </w:rPr>
      </w:pP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《工程伦理》公共课程视频案例可由摄影、摄像和计算机仿真制作。</w:t>
      </w:r>
    </w:p>
    <w:p>
      <w:pPr>
        <w:spacing w:line="440" w:lineRule="exact"/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一、教学视频案例的范围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1．以记录案例教学授课过程为主的案例教学示范视频；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2．以分析实际工程案例为主的视频案例；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3．以还原案例开发、编写的过程为内容的案例开发示范视频；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4．除以上三种情况外，其他与教学案例及案例教学工作相关的视频。</w:t>
      </w:r>
    </w:p>
    <w:p>
      <w:pPr>
        <w:spacing w:line="440" w:lineRule="exact"/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二、教学视频案例的内容要求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（一）视频案例设计原则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1．真实性。以视频的形式记录工程实际场景、课堂教学情况和真实可信的学习环境，为学习者提供一个真实的情景，理解课程知识点与工程实际的联系。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2．完整性。视频片头应展示课程名称、案例名称、教师姓名、录制时间等必要信息；每个关键事件和细节均设置相关的链接，使学生能够详细了解相关的背景、数据和其他学习者的观点，体现一个完整的教学过程。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3．便利性。教学中可以根据需要随时暂停某个视频画面，对课堂教学的原始素材进行重新分析，实现师生互动，实现从外显到内涵、从行为到心理、从局部到整体的转变。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4．启发性。案例的选材和内容应该具有一定的典型性和启发性，能充分反映工程领域中的特点并能启发学生对其中伦理问题的思考、争论和探索。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（二）视频案例内容要求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1. 视频案例的选择应该紧扣课程知识点；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2. 视频案例内容应以工程案例为依据，紧密结合课程知识点；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3. 通过案例内容，引导学生发现、思考和提出解决问题的建议方案；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4. 视频案例的图像清晰稳定、构图合理、声音清楚。</w:t>
      </w:r>
    </w:p>
    <w:p>
      <w:pPr>
        <w:spacing w:line="440" w:lineRule="exact"/>
        <w:rPr>
          <w:rFonts w:ascii="仿宋" w:eastAsia="仿宋"/>
          <w:b/>
          <w:sz w:val="28"/>
          <w:szCs w:val="28"/>
        </w:rPr>
      </w:pPr>
      <w:r>
        <w:rPr>
          <w:rFonts w:ascii="仿宋" w:eastAsia="仿宋" w:hint="eastAsia"/>
          <w:b/>
          <w:sz w:val="28"/>
          <w:szCs w:val="28"/>
        </w:rPr>
        <w:t>三、教学案例视频拍摄（或制作）的相关标准及要求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教师自行选择以下列方式进行视频拍摄（制作）。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（一）教师自行录制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1．视频格式：Rmvb、avi、mp4、3gp 等常用格式。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2．拍摄工具：手机、DV、摄像机等。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3．视频长度：视频案例5-15分钟，案例教学视频15-30分钟，依拍摄内容而定。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4．图像/声音：图像不偏色，不过亮/过暗。人、物移动时无拖影耀光现象。声音和画面同步，无明显失真，无明显噪音、回声或其它杂音，无音量忽大忽小现象，解说声与现场声无明显比例失调。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（二）教师邀请拍摄团队录制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1．团队人数：五人以上的拍摄和制作团队，拍摄团队包括编导、摄像、摄助、服装/化妆、灯光、场务等，制作团队包括：剪辑、调色、后期包装、美工、录音等；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2．摄影器材：摄像机、灯光设备、导播台及录音设备；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3．编导：对整体风格和画面镜头有较强的掌控能力，在案例教学视频拍摄文案方面有较强的文字撰写功底，能够有效的组织协调整个摄制组在各个技术环节的工作；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4．摄影、摄助：能够熟练操作各类摄影器材，在镜头语音方面有一定的创作能力，有效的帮助编导对视频整体画面风格进行把握；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5．灯光：对影视照明基本原理熟练掌握，对画面语言有独立的认识；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6．录音：前期课堂声音的录制及音视频素材管理；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7．服装、场务：提供老师的穿着建议，满足当天老师的化妆需求，场务需配合编导及摄影师的工作；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8．剪辑：熟练使用各种非线性剪辑软件，在协助编导完成视频的细节调整；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9．调色：针对视频调整舒适、适合教学环境的色调；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10．录音：前期课堂声音的录制及音视频素材管理；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11．包装、美工：熟练使用AE、3DMAX 包装软件，为影片完成特技制作和包装；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12．拍摄机位：依拍摄环境，二台及以上；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13．画面大小：1920*1080 像素；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14．画面质量：1600 比特率-5000 比特率；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15．视频格式：MP4、MOV、MPEG2；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16．视频时长：微视频0.5-5 分钟，视频案例5-30 分钟，案例教学视频15-60分钟，依拍摄内容而定；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17．视频帧速率：不低于每秒25 帧。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（三）计算机仿真</w:t>
      </w:r>
    </w:p>
    <w:p>
      <w:pPr>
        <w:spacing w:line="44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计算机仿真制作图像、视频的视频软件多种，具有成本较小，效果明显的优点。其制作的图像可以三维动态图像形式模拟工程的设计模型、施工过程、管理运行，功能多样、可虚拟场景、直观等效果，易于帮助理解。选择合适视频制作软件制作案例并以MP4、MOV、MPEG2、AVI 等格式存储。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3</Pages>
  <Words>1513</Words>
  <Characters>1592</Characters>
  <Lines>76</Lines>
  <Paragraphs>45</Paragraphs>
  <CharactersWithSpaces>1605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Windows 用户</cp:lastModifiedBy>
  <cp:revision>10</cp:revision>
  <dcterms:created xsi:type="dcterms:W3CDTF">2017-06-05T00:30:00Z</dcterms:created>
  <dcterms:modified xsi:type="dcterms:W3CDTF">2019-04-26T02:05:28Z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2052-10.1.0.6156</vt:lpwstr>
  </property>
</Properties>
</file>