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lang w:val="en-US" w:eastAsia="zh-CN" w:bidi="ar"/>
        </w:rPr>
        <w:t>研究生第二导师聘任网上系统操作流程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更新日期：2021年4月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根据《华南农业大学研究生导师管理办法》（华南农办【2017】26号）文件第五条规定，研究生第二导师聘任应在学位论文开题前完成。非全日制专业学位研究生应聘任校外第二导师，全日制专业学位研究生提倡聘任校外第二导师，第二导师聘任具体要求按各学院制定的聘任方案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为规范管理，实行校内外第二导师统一纳入系统管理，确保数据的准确对接，研究生第二导师聘任实行网上系统办理，操作流程如下：</w:t>
      </w:r>
    </w:p>
    <w:p>
      <w:pPr>
        <w:jc w:val="center"/>
        <w:rPr>
          <w:rFonts w:hint="eastAsia" w:ascii="黑体" w:hAnsi="宋体" w:eastAsia="黑体" w:cs="宋体"/>
          <w:kern w:val="0"/>
          <w:sz w:val="24"/>
          <w:szCs w:val="24"/>
          <w:lang w:eastAsia="zh-CN"/>
        </w:rPr>
      </w:pPr>
    </w:p>
    <w:p>
      <w:pPr>
        <w:jc w:val="center"/>
        <w:rPr>
          <w:rFonts w:ascii="黑体" w:eastAsia="黑体"/>
        </w:rPr>
      </w:pP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流程：研究生申请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研究生第一导师选</w:t>
      </w:r>
      <w:r>
        <w:rPr>
          <w:rFonts w:hint="eastAsia" w:ascii="黑体" w:hAnsi="宋体" w:eastAsia="黑体" w:cs="宋体"/>
          <w:kern w:val="0"/>
          <w:sz w:val="24"/>
          <w:szCs w:val="24"/>
          <w:lang w:val="en-US" w:eastAsia="zh-CN"/>
        </w:rPr>
        <w:t>定第二导师并审核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学院审核</w:t>
      </w:r>
      <w:r>
        <w:rPr>
          <w:rFonts w:hint="eastAsia" w:ascii="黑体" w:hAnsi="宋体" w:eastAsia="黑体" w:cs="宋体"/>
          <w:kern w:val="0"/>
          <w:sz w:val="24"/>
          <w:szCs w:val="24"/>
        </w:rPr>
        <w:sym w:font="Wingdings" w:char="F0E8"/>
      </w:r>
      <w:r>
        <w:rPr>
          <w:rFonts w:hint="eastAsia" w:ascii="黑体" w:hAnsi="宋体" w:eastAsia="黑体" w:cs="宋体"/>
          <w:kern w:val="0"/>
          <w:sz w:val="24"/>
          <w:szCs w:val="24"/>
          <w:lang w:eastAsia="zh-CN"/>
        </w:rPr>
        <w:t>研究生院学位办审核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562" w:firstLineChars="200"/>
        <w:textAlignment w:val="auto"/>
        <w:outlineLvl w:val="1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研究生申请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jc w:val="left"/>
        <w:textAlignment w:val="auto"/>
        <w:outlineLvl w:val="1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登录“研究生教育管理系统”，点击“其他→第二导师申请管理→申请”（图1，图2）。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1543685" cy="1536700"/>
            <wp:effectExtent l="0" t="0" r="10795" b="2540"/>
            <wp:docPr id="1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6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17590" cy="896620"/>
            <wp:effectExtent l="0" t="0" r="8890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"/>
        </w:rPr>
        <w:t>图2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val="en-US" w:eastAsia="zh-CN" w:bidi="ar"/>
        </w:rPr>
        <w:t>研究生第一导师选定第二导师名单并审核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firstLine="480" w:firstLineChars="200"/>
        <w:textAlignment w:val="auto"/>
        <w:outlineLvl w:val="1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"/>
        </w:rPr>
        <w:t>第二导师聘任申请需要提交相关纸质材料的，按本学院要求提交至学院保存。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（一）选定第二导师名单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研究生第一导师登录“研究生教育管理系统”，点击“导师→学生培养指导→学生二导审核管理”（图3），可根据情况按以下3种方式之一操作：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144895" cy="14478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图3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点击“选择”，在“关键字”中输入姓名或工号（校外导师为编号）查找名单，点击绿色按钮确认（图4），选定第二导师名单后，再点击右边绿色图标，完成二导申请审核（图5）。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06135" cy="1478280"/>
            <wp:effectExtent l="0" t="0" r="698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图4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12765" cy="598805"/>
            <wp:effectExtent l="0" t="0" r="10795" b="1079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如果按姓名或工号（校外导师为编号）查找不到名单的，校内人员和校外人员按不同方式进行。第二导师为校内人员的，请将信息（工号、姓名、性别、出生所月、工作单位）报学位科，由学位科将教师信息添加到系统后按方式1的操作方法进行选定及审核。第二导师为校外人员的，点击“添加”，输入新增加的第二导师的所有信息并保存（图6），再点击右边绿色图标，完成二导申请审核（图5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341745" cy="2496185"/>
            <wp:effectExtent l="0" t="0" r="13335" b="317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/>
        <w:jc w:val="center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图6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jc w:val="left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如果需添加的第二导师名单较多或者第二导师由学院统一聘任的，可由学院联系研究生院学位科，按规定的表格填写相关的信息后，由学位科统一将信息导入系统，第一导师再按方式1的操作方法进行选定及审核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三、学院审核第二导师信息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严格对照本学院第二导师聘任方案，审核拟聘任导师信息是否符合要求。可通过单个学生记录审核（图7）或多个学生批量审核（图8）。需要提交相关申请材料的请在学院公布提交的要求。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12485" cy="1030605"/>
            <wp:effectExtent l="0" t="0" r="635" b="5715"/>
            <wp:docPr id="1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图7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930900" cy="976630"/>
            <wp:effectExtent l="0" t="0" r="12700" b="1397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图8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>聘任结果查看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研究生及导师登录系统可查看第二导师的聘任结果。审核通过的，校内、校外第二导师名单均可在系统中显示。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ab/>
      </w:r>
    </w:p>
    <w:sectPr>
      <w:footerReference r:id="rId3" w:type="default"/>
      <w:pgSz w:w="11906" w:h="16838"/>
      <w:pgMar w:top="1134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27F29B"/>
    <w:multiLevelType w:val="singleLevel"/>
    <w:tmpl w:val="EC27F2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8A85448"/>
    <w:multiLevelType w:val="singleLevel"/>
    <w:tmpl w:val="08A854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37D19D1"/>
    <w:multiLevelType w:val="singleLevel"/>
    <w:tmpl w:val="537D19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930E062"/>
    <w:multiLevelType w:val="singleLevel"/>
    <w:tmpl w:val="7930E0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96A98"/>
    <w:rsid w:val="04B904AD"/>
    <w:rsid w:val="0B464A81"/>
    <w:rsid w:val="10E7001A"/>
    <w:rsid w:val="11C53783"/>
    <w:rsid w:val="12496A98"/>
    <w:rsid w:val="12CE24D0"/>
    <w:rsid w:val="14820CB7"/>
    <w:rsid w:val="1C142D7E"/>
    <w:rsid w:val="1D9F7BE5"/>
    <w:rsid w:val="1FB61AE9"/>
    <w:rsid w:val="1FDD3171"/>
    <w:rsid w:val="1FEF0A68"/>
    <w:rsid w:val="209440CF"/>
    <w:rsid w:val="21065F8B"/>
    <w:rsid w:val="226D25F8"/>
    <w:rsid w:val="245B665A"/>
    <w:rsid w:val="334E7F9A"/>
    <w:rsid w:val="34106FF5"/>
    <w:rsid w:val="34491E11"/>
    <w:rsid w:val="35CC2434"/>
    <w:rsid w:val="375B121E"/>
    <w:rsid w:val="37827249"/>
    <w:rsid w:val="3E2C1B2B"/>
    <w:rsid w:val="3E5C0CE8"/>
    <w:rsid w:val="3FF625BA"/>
    <w:rsid w:val="45BC419C"/>
    <w:rsid w:val="45DD44F7"/>
    <w:rsid w:val="47A74B8E"/>
    <w:rsid w:val="4A9077AB"/>
    <w:rsid w:val="4B8452CF"/>
    <w:rsid w:val="4D6857C1"/>
    <w:rsid w:val="4F207788"/>
    <w:rsid w:val="5136006F"/>
    <w:rsid w:val="53386FEA"/>
    <w:rsid w:val="535D2E76"/>
    <w:rsid w:val="540C2619"/>
    <w:rsid w:val="55C44DB1"/>
    <w:rsid w:val="55FC1246"/>
    <w:rsid w:val="5A5E65BA"/>
    <w:rsid w:val="5A8318F9"/>
    <w:rsid w:val="5C6B4FFB"/>
    <w:rsid w:val="5CE57F9F"/>
    <w:rsid w:val="5ED01BEA"/>
    <w:rsid w:val="5F2C5E49"/>
    <w:rsid w:val="60ED30FB"/>
    <w:rsid w:val="61E8281D"/>
    <w:rsid w:val="63074937"/>
    <w:rsid w:val="65AF79BD"/>
    <w:rsid w:val="686C7191"/>
    <w:rsid w:val="69481ACE"/>
    <w:rsid w:val="697B3BE2"/>
    <w:rsid w:val="698B79CD"/>
    <w:rsid w:val="6D606498"/>
    <w:rsid w:val="6D692789"/>
    <w:rsid w:val="7003778B"/>
    <w:rsid w:val="787D7E1B"/>
    <w:rsid w:val="78A61B25"/>
    <w:rsid w:val="7B5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08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2018-12-03T08:39:00Z</dcterms:created>
  <dc:creator>lbs</dc:creator>
  <cp:lastModifiedBy>李宝盛</cp:lastModifiedBy>
  <dcterms:modified xsi:type="dcterms:W3CDTF">2021-04-22T03:44:08Z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